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41" w:rsidRDefault="00FD0AE5">
      <w:r>
        <w:t xml:space="preserve">        </w:t>
      </w:r>
      <w:r w:rsidR="002C41C0">
        <w:t xml:space="preserve">        </w:t>
      </w:r>
      <w:r>
        <w:t xml:space="preserve">  ПЛАН ЗА ДЕЙСТВИЕ ЗА ИЗПЪЛНЕНИЕ НА СТРАТЕГИЯТА ЗА РАЗВИТИЕ НА </w:t>
      </w:r>
      <w:r w:rsidR="00AE1FF7">
        <w:t>ПГСС- ГР. КУКЛЕН ЗА ПЕРИОДА 2025-2030</w:t>
      </w:r>
      <w:r>
        <w:t xml:space="preserve"> ГОДИНА</w:t>
      </w:r>
    </w:p>
    <w:p w:rsidR="002C41C0" w:rsidRDefault="002C4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6068"/>
        <w:gridCol w:w="1843"/>
        <w:gridCol w:w="1701"/>
        <w:gridCol w:w="1659"/>
        <w:gridCol w:w="45"/>
      </w:tblGrid>
      <w:tr w:rsidR="00FD0AE5" w:rsidTr="000A04A3">
        <w:tc>
          <w:tcPr>
            <w:tcW w:w="2829" w:type="dxa"/>
          </w:tcPr>
          <w:p w:rsidR="00FD0AE5" w:rsidRDefault="00FD0AE5" w:rsidP="000A04A3"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СТРАТЕГИИ, ЦЕННОСТИ И ПРИОРИТЕТИ</w:t>
            </w:r>
          </w:p>
        </w:tc>
        <w:tc>
          <w:tcPr>
            <w:tcW w:w="6068" w:type="dxa"/>
          </w:tcPr>
          <w:p w:rsidR="00FD0AE5" w:rsidRDefault="00FD0AE5" w:rsidP="000A04A3">
            <w:r w:rsidRPr="0039610B">
              <w:rPr>
                <w:rFonts w:eastAsia="SimSun"/>
                <w:b/>
                <w:kern w:val="1"/>
                <w:lang w:val="en-US" w:eastAsia="zh-CN" w:bidi="hi-IN"/>
              </w:rPr>
              <w:t>ДЕЙНОСТИ ЗА РЕАЛИЗИРАНЕТО ИМ</w:t>
            </w:r>
          </w:p>
        </w:tc>
        <w:tc>
          <w:tcPr>
            <w:tcW w:w="1843" w:type="dxa"/>
          </w:tcPr>
          <w:p w:rsidR="00FD0AE5" w:rsidRPr="00FD0AE5" w:rsidRDefault="00FD0AE5" w:rsidP="000A04A3">
            <w:pPr>
              <w:rPr>
                <w:b/>
              </w:rPr>
            </w:pPr>
            <w:r w:rsidRPr="00FD0AE5">
              <w:rPr>
                <w:b/>
              </w:rPr>
              <w:t>ФИНАНСИРАНЕ</w:t>
            </w:r>
          </w:p>
        </w:tc>
        <w:tc>
          <w:tcPr>
            <w:tcW w:w="1701" w:type="dxa"/>
          </w:tcPr>
          <w:p w:rsidR="00FD0AE5" w:rsidRPr="00FD0AE5" w:rsidRDefault="00FD0AE5" w:rsidP="000A04A3">
            <w:pPr>
              <w:rPr>
                <w:b/>
              </w:rPr>
            </w:pPr>
            <w:r w:rsidRPr="00FD0AE5">
              <w:rPr>
                <w:b/>
              </w:rPr>
              <w:t>СРОК</w:t>
            </w:r>
          </w:p>
        </w:tc>
        <w:tc>
          <w:tcPr>
            <w:tcW w:w="1704" w:type="dxa"/>
            <w:gridSpan w:val="2"/>
          </w:tcPr>
          <w:p w:rsidR="00FD0AE5" w:rsidRPr="00FD0AE5" w:rsidRDefault="00FD0AE5" w:rsidP="000A04A3">
            <w:pPr>
              <w:rPr>
                <w:b/>
              </w:rPr>
            </w:pPr>
            <w:r w:rsidRPr="00FD0AE5">
              <w:rPr>
                <w:b/>
              </w:rPr>
              <w:t>ОТГОВОРНИК</w:t>
            </w:r>
          </w:p>
        </w:tc>
      </w:tr>
      <w:tr w:rsidR="00FD0AE5" w:rsidTr="000A04A3">
        <w:tc>
          <w:tcPr>
            <w:tcW w:w="2829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-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</w:t>
            </w:r>
            <w:r w:rsidR="00BE7E2C">
              <w:rPr>
                <w:rFonts w:eastAsia="SimSun"/>
                <w:kern w:val="1"/>
                <w:lang w:val="en-US" w:eastAsia="zh-CN" w:bidi="hi-IN"/>
              </w:rPr>
              <w:t>соко</w:t>
            </w:r>
            <w:proofErr w:type="spellEnd"/>
            <w:r w:rsidR="00BE7E2C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BE7E2C">
              <w:rPr>
                <w:rFonts w:eastAsia="SimSun"/>
                <w:kern w:val="1"/>
                <w:lang w:val="en-US" w:eastAsia="zh-CN" w:bidi="hi-IN"/>
              </w:rPr>
              <w:t>развитие</w:t>
            </w:r>
            <w:proofErr w:type="spellEnd"/>
            <w:r w:rsidR="00BE7E2C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BE7E2C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BE7E2C">
              <w:rPr>
                <w:rFonts w:eastAsia="SimSun"/>
                <w:kern w:val="1"/>
                <w:lang w:val="en-US" w:eastAsia="zh-CN" w:bidi="hi-IN"/>
              </w:rPr>
              <w:t xml:space="preserve">:  </w:t>
            </w:r>
            <w:proofErr w:type="spellStart"/>
            <w:r w:rsidR="00BE7E2C">
              <w:rPr>
                <w:rFonts w:eastAsia="SimSun"/>
                <w:kern w:val="1"/>
                <w:lang w:val="en-US" w:eastAsia="zh-CN" w:bidi="hi-IN"/>
              </w:rPr>
              <w:t>подготовката</w:t>
            </w:r>
            <w:proofErr w:type="spellEnd"/>
            <w:r w:rsidR="00BE7E2C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BE7E2C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="00BE7E2C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="00BE7E2C">
              <w:rPr>
                <w:rFonts w:eastAsia="SimSun"/>
                <w:kern w:val="1"/>
                <w:lang w:eastAsia="zh-CN" w:bidi="hi-IN"/>
              </w:rPr>
              <w:t xml:space="preserve">БЕЛ, </w:t>
            </w:r>
            <w:bookmarkStart w:id="0" w:name="_GoBack"/>
            <w:bookmarkEnd w:id="0"/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чуждоезиковата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областта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информационните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технологии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подготовка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та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всички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Формиращо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оценяване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самооценяване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сътрудничество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основните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партньори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Издигане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качеството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color w:val="000000" w:themeColor="text1"/>
                <w:kern w:val="1"/>
                <w:lang w:eastAsia="zh-CN" w:bidi="hi-IN"/>
              </w:rPr>
              <w:t xml:space="preserve">образование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постигане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н</w:t>
            </w:r>
            <w:r w:rsidRPr="0039610B">
              <w:rPr>
                <w:rFonts w:eastAsia="SimSun"/>
                <w:kern w:val="1"/>
                <w:lang w:eastAsia="zh-CN" w:bidi="hi-IN"/>
              </w:rPr>
              <w:t>а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ДОС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Практическа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приложимост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изучаван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ото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съдържание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методите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действие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екип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висококвалифицирани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eastAsia="zh-CN" w:bidi="hi-IN"/>
              </w:rPr>
              <w:t>учители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: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дългогодишните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кадри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;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целенасочен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подбор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новоназначените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притежаващи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висока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владеещи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чужди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езици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ако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това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изисква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план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съответния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предмет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притежаващи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опит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реализирането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; 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приоритетно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бивши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възпитаници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2.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 Провеждане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 xml:space="preserve"> тематични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ПС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вътрешноучилищната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Осъществяване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сътрудничество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т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елите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то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училища</w:t>
            </w:r>
            <w:proofErr w:type="spellEnd"/>
            <w:proofErr w:type="gram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и/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ВУЗ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цел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обмен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добри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практики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4.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Обезпечаване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процеса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достатъчно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технически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средства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необходими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пособия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AE1FF7" w:rsidRDefault="00AE1FF7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 xml:space="preserve">5. </w:t>
            </w:r>
            <w:r>
              <w:rPr>
                <w:rFonts w:eastAsia="SimSun"/>
                <w:kern w:val="1"/>
                <w:lang w:eastAsia="zh-CN" w:bidi="hi-IN"/>
              </w:rPr>
              <w:t>Прилагане на компетентностния подход в обучението.</w:t>
            </w:r>
          </w:p>
          <w:p w:rsidR="00FD0AE5" w:rsidRPr="0039610B" w:rsidRDefault="00AE1FF7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6</w:t>
            </w:r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Мотивиране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участие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учебния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процес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качествено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обучение</w:t>
            </w:r>
            <w:proofErr w:type="spellEnd"/>
            <w:r w:rsidR="00FD0AE5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AE1FF7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7</w:t>
            </w:r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Въвеждане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проверка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оценка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</w:t>
            </w:r>
            <w:r>
              <w:rPr>
                <w:rFonts w:eastAsia="SimSun"/>
                <w:kern w:val="1"/>
                <w:lang w:val="en-US" w:eastAsia="zh-CN" w:bidi="hi-IN"/>
              </w:rPr>
              <w:t>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знанията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(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проектна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)</w:t>
            </w:r>
            <w:r w:rsidR="00FD0AE5"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6E77E3" w:rsidRDefault="00AE1FF7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8</w:t>
            </w:r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FD0AE5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>
              <w:rPr>
                <w:rFonts w:eastAsia="SimSun"/>
                <w:kern w:val="1"/>
                <w:lang w:val="en-US" w:eastAsia="zh-CN" w:bidi="hi-IN"/>
              </w:rPr>
              <w:t>вътрешноучилищни</w:t>
            </w:r>
            <w:proofErr w:type="spellEnd"/>
            <w:r w:rsidR="00FD0AE5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>
              <w:rPr>
                <w:rFonts w:eastAsia="SimSun"/>
                <w:kern w:val="1"/>
                <w:lang w:val="en-US" w:eastAsia="zh-CN" w:bidi="hi-IN"/>
              </w:rPr>
              <w:t>състезания</w:t>
            </w:r>
            <w:proofErr w:type="spellEnd"/>
            <w:r w:rsidR="00FD0AE5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AE1FF7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val="en-US" w:eastAsia="zh-CN" w:bidi="hi-IN"/>
              </w:rPr>
              <w:t>9</w:t>
            </w:r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мотивирани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целенасочена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рекламна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кампания</w:t>
            </w:r>
            <w:proofErr w:type="spellEnd"/>
            <w:r w:rsidR="00FD0AE5"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="00AE1FF7">
              <w:rPr>
                <w:rFonts w:eastAsia="SimSun"/>
                <w:kern w:val="1"/>
                <w:lang w:eastAsia="zh-CN" w:bidi="hi-IN"/>
              </w:rPr>
              <w:t>0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Съвместна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образователни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1</w:t>
            </w:r>
            <w:r w:rsidR="00AE1FF7">
              <w:rPr>
                <w:rFonts w:eastAsia="SimSun"/>
                <w:kern w:val="1"/>
                <w:lang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Повишаване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нивото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трудовата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дисциплина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Default="00FD0AE5" w:rsidP="000A04A3">
            <w:pPr>
              <w:rPr>
                <w:rFonts w:eastAsia="SimSun"/>
                <w:kern w:val="1"/>
                <w:lang w:val="en-US"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>1</w:t>
            </w:r>
            <w:r w:rsidR="00AE1FF7">
              <w:rPr>
                <w:rFonts w:eastAsia="SimSun"/>
                <w:kern w:val="1"/>
                <w:lang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Усъвършенстване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съществуващите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планове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необходимост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разработване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отговарящи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търсенето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ресурсите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,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които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разполага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и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AE1FF7" w:rsidRDefault="00AE1FF7" w:rsidP="000A04A3">
            <w:pPr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13. Провеждане на практическите занятия в реална работна среда.</w:t>
            </w:r>
          </w:p>
          <w:p w:rsidR="00AE1FF7" w:rsidRPr="00AE1FF7" w:rsidRDefault="00AE1FF7" w:rsidP="000A04A3">
            <w:r>
              <w:rPr>
                <w:rFonts w:eastAsia="SimSun"/>
                <w:kern w:val="1"/>
                <w:lang w:eastAsia="zh-CN" w:bidi="hi-IN"/>
              </w:rPr>
              <w:t>14. Изкуственият интелект в помощ на обучението.</w:t>
            </w:r>
          </w:p>
        </w:tc>
        <w:tc>
          <w:tcPr>
            <w:tcW w:w="1843" w:type="dxa"/>
          </w:tcPr>
          <w:p w:rsidR="00FD0AE5" w:rsidRDefault="002C41C0" w:rsidP="000A04A3">
            <w:r>
              <w:lastRenderedPageBreak/>
              <w:t>Делегиран бюджет и целеви финансирания</w:t>
            </w:r>
          </w:p>
        </w:tc>
        <w:tc>
          <w:tcPr>
            <w:tcW w:w="1701" w:type="dxa"/>
          </w:tcPr>
          <w:p w:rsidR="00FD0AE5" w:rsidRDefault="002C41C0" w:rsidP="000A04A3">
            <w:r>
              <w:t>Постоянен</w:t>
            </w:r>
          </w:p>
        </w:tc>
        <w:tc>
          <w:tcPr>
            <w:tcW w:w="1704" w:type="dxa"/>
            <w:gridSpan w:val="2"/>
          </w:tcPr>
          <w:p w:rsidR="00FD0AE5" w:rsidRDefault="002C41C0" w:rsidP="000A04A3">
            <w:r>
              <w:t>Директор, ЗДУД и гл. счетоводител, учители</w:t>
            </w:r>
          </w:p>
        </w:tc>
      </w:tr>
      <w:tr w:rsidR="00FD0AE5" w:rsidTr="000A04A3">
        <w:tc>
          <w:tcPr>
            <w:tcW w:w="2829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Поставяне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центъра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цялостната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Поставяне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отговорна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активна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позиция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овладяване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знанията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развиване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способностите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самостоятелно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търсене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източници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Подобряване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процеса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педагогическо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взаимодействие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между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основните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партньори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–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Предприемане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мерки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намаляване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eastAsia="zh-CN" w:bidi="hi-IN"/>
              </w:rPr>
              <w:t xml:space="preserve">на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броя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отсъствията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учебни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часове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своевременно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Осъществяване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съвместни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инициативи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Обогатяване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извънкласните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заним</w:t>
            </w:r>
            <w:r>
              <w:rPr>
                <w:rFonts w:eastAsia="SimSun"/>
                <w:kern w:val="1"/>
                <w:lang w:val="en-US" w:eastAsia="zh-CN" w:bidi="hi-IN"/>
              </w:rPr>
              <w:t>анията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kern w:val="1"/>
                <w:lang w:val="en-US" w:eastAsia="zh-CN" w:bidi="hi-IN"/>
              </w:rPr>
              <w:t>спорт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  <w:proofErr w:type="gramEnd"/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4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Утвърждаване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традиции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символи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5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Прилагане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разнообразни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ли.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Превенция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агресията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тормоза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други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негативни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прояви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7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борба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r w:rsidRPr="0039610B">
              <w:rPr>
                <w:rFonts w:eastAsia="SimSun"/>
                <w:kern w:val="1"/>
                <w:lang w:eastAsia="zh-CN" w:bidi="hi-IN"/>
              </w:rPr>
              <w:t>противообществените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прояви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противодействие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срещу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наркоманията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сектите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r>
              <w:rPr>
                <w:rFonts w:eastAsia="SimSun"/>
                <w:kern w:val="1"/>
                <w:lang w:eastAsia="zh-CN" w:bidi="hi-IN"/>
              </w:rPr>
              <w:t>8. Осигуряване на безопасна среда за работа и учене в ситуацията на епидемична обстановка.</w:t>
            </w:r>
          </w:p>
        </w:tc>
        <w:tc>
          <w:tcPr>
            <w:tcW w:w="1843" w:type="dxa"/>
          </w:tcPr>
          <w:p w:rsidR="00FD0AE5" w:rsidRDefault="002C41C0" w:rsidP="000A04A3">
            <w:r>
              <w:t>Целево</w:t>
            </w:r>
          </w:p>
        </w:tc>
        <w:tc>
          <w:tcPr>
            <w:tcW w:w="1701" w:type="dxa"/>
          </w:tcPr>
          <w:p w:rsidR="00FD0AE5" w:rsidRDefault="002C41C0" w:rsidP="000A04A3">
            <w:r>
              <w:t>Целогодишен</w:t>
            </w:r>
          </w:p>
        </w:tc>
        <w:tc>
          <w:tcPr>
            <w:tcW w:w="1704" w:type="dxa"/>
            <w:gridSpan w:val="2"/>
          </w:tcPr>
          <w:p w:rsidR="00FD0AE5" w:rsidRDefault="002C41C0" w:rsidP="000A04A3">
            <w:r>
              <w:t>Класни ръководители, образователен медиатор, родители</w:t>
            </w:r>
          </w:p>
        </w:tc>
      </w:tr>
      <w:tr w:rsidR="00FD0AE5" w:rsidTr="000A04A3">
        <w:tc>
          <w:tcPr>
            <w:tcW w:w="2829" w:type="dxa"/>
          </w:tcPr>
          <w:p w:rsidR="00FD0AE5" w:rsidRDefault="00FD0AE5" w:rsidP="000A04A3"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Ефективна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управленска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val="en-US" w:eastAsia="zh-CN" w:bidi="hi-IN"/>
              </w:rPr>
            </w:pP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Демократизиране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управлението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чрез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: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максимален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брой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във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вземането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управленски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решения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по-добра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вътрешноучилищна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информационна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система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Изграждане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ръководен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екип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Създаване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партньорски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взаимоотношения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синдикалните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организации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1843" w:type="dxa"/>
          </w:tcPr>
          <w:p w:rsidR="00FD0AE5" w:rsidRDefault="00FD0AE5" w:rsidP="000A04A3"/>
        </w:tc>
        <w:tc>
          <w:tcPr>
            <w:tcW w:w="1701" w:type="dxa"/>
          </w:tcPr>
          <w:p w:rsidR="00FD0AE5" w:rsidRDefault="002C41C0" w:rsidP="000A04A3">
            <w:r>
              <w:t>Постоянен</w:t>
            </w:r>
          </w:p>
        </w:tc>
        <w:tc>
          <w:tcPr>
            <w:tcW w:w="1704" w:type="dxa"/>
            <w:gridSpan w:val="2"/>
          </w:tcPr>
          <w:p w:rsidR="00FD0AE5" w:rsidRDefault="002C41C0" w:rsidP="000A04A3">
            <w:r>
              <w:t>Директор, ЗДУД</w:t>
            </w:r>
          </w:p>
        </w:tc>
      </w:tr>
      <w:tr w:rsidR="00FD0AE5" w:rsidTr="000A04A3">
        <w:tc>
          <w:tcPr>
            <w:tcW w:w="2829" w:type="dxa"/>
          </w:tcPr>
          <w:p w:rsidR="00FD0AE5" w:rsidRDefault="00FD0AE5" w:rsidP="000A04A3"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Използване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различни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мотивиране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персонала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Увеличаване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индивидуалните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трудови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възнаграждения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работещите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рамките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утвърдените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средства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делегирания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бюджет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color w:val="FF0000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Формиране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система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морални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стимули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изготвяне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Е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тичен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кодекс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Осигуряване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квалификацията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учителите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Default="00FD0AE5" w:rsidP="000A04A3">
            <w:r>
              <w:rPr>
                <w:rFonts w:eastAsia="SimSun"/>
                <w:kern w:val="1"/>
                <w:lang w:eastAsia="zh-CN" w:bidi="hi-IN"/>
              </w:rPr>
              <w:t>4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color w:val="000000" w:themeColor="text1"/>
                <w:kern w:val="1"/>
                <w:lang w:val="en-US" w:eastAsia="zh-CN" w:bidi="hi-IN"/>
              </w:rPr>
              <w:t>на</w:t>
            </w:r>
            <w:proofErr w:type="spellEnd"/>
            <w:r>
              <w:rPr>
                <w:rFonts w:eastAsia="SimSun"/>
                <w:color w:val="000000" w:themeColor="text1"/>
                <w:kern w:val="1"/>
                <w:lang w:eastAsia="zh-CN" w:bidi="hi-IN"/>
              </w:rPr>
              <w:t xml:space="preserve"> </w:t>
            </w:r>
            <w:r w:rsidRPr="0039610B">
              <w:rPr>
                <w:rFonts w:eastAsia="SimSun"/>
                <w:color w:val="000000" w:themeColor="text1"/>
                <w:kern w:val="1"/>
                <w:lang w:eastAsia="zh-CN" w:bidi="hi-IN"/>
              </w:rPr>
              <w:t>тиймбилдинг и обучения</w:t>
            </w:r>
            <w:r>
              <w:rPr>
                <w:rFonts w:eastAsia="SimSun"/>
                <w:color w:val="000000" w:themeColor="text1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колектива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семинари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др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</w:p>
        </w:tc>
        <w:tc>
          <w:tcPr>
            <w:tcW w:w="1843" w:type="dxa"/>
          </w:tcPr>
          <w:p w:rsidR="00FD0AE5" w:rsidRDefault="000A04A3" w:rsidP="000A04A3">
            <w:r>
              <w:t>Делегиран бюджет и целеви</w:t>
            </w:r>
          </w:p>
        </w:tc>
        <w:tc>
          <w:tcPr>
            <w:tcW w:w="1701" w:type="dxa"/>
          </w:tcPr>
          <w:p w:rsidR="00FD0AE5" w:rsidRDefault="000A04A3" w:rsidP="000A04A3">
            <w:r>
              <w:t>Двукратно- първи и втори срок</w:t>
            </w:r>
          </w:p>
        </w:tc>
        <w:tc>
          <w:tcPr>
            <w:tcW w:w="1704" w:type="dxa"/>
            <w:gridSpan w:val="2"/>
          </w:tcPr>
          <w:p w:rsidR="00FD0AE5" w:rsidRDefault="000A04A3" w:rsidP="000A04A3">
            <w:r>
              <w:t>Директор, главен счетоводител, ЗДУД</w:t>
            </w:r>
          </w:p>
        </w:tc>
      </w:tr>
      <w:tr w:rsidR="00FD0AE5" w:rsidTr="000A04A3">
        <w:tc>
          <w:tcPr>
            <w:tcW w:w="2829" w:type="dxa"/>
          </w:tcPr>
          <w:p w:rsidR="00FD0AE5" w:rsidRDefault="00FD0AE5" w:rsidP="000A04A3"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Добро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взаимодействие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със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социалната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държавните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обществените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организации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свързани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с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проблемите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образованието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възпитанието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младите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хора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Default="00FD0AE5" w:rsidP="000A04A3"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kern w:val="1"/>
                <w:lang w:eastAsia="zh-CN" w:bidi="hi-IN"/>
              </w:rPr>
              <w:t>П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</w:t>
            </w:r>
            <w:r>
              <w:rPr>
                <w:rFonts w:eastAsia="SimSun"/>
                <w:kern w:val="1"/>
                <w:lang w:val="en-US" w:eastAsia="zh-CN" w:bidi="hi-IN"/>
              </w:rPr>
              <w:t>ивличане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бивши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общественици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в училищния живот.</w:t>
            </w:r>
          </w:p>
        </w:tc>
        <w:tc>
          <w:tcPr>
            <w:tcW w:w="1843" w:type="dxa"/>
          </w:tcPr>
          <w:p w:rsidR="00FD0AE5" w:rsidRDefault="00FD0AE5" w:rsidP="000A04A3"/>
        </w:tc>
        <w:tc>
          <w:tcPr>
            <w:tcW w:w="1701" w:type="dxa"/>
          </w:tcPr>
          <w:p w:rsidR="00FD0AE5" w:rsidRDefault="000A04A3" w:rsidP="000A04A3">
            <w:r>
              <w:t>Постоянен</w:t>
            </w:r>
          </w:p>
        </w:tc>
        <w:tc>
          <w:tcPr>
            <w:tcW w:w="1704" w:type="dxa"/>
            <w:gridSpan w:val="2"/>
          </w:tcPr>
          <w:p w:rsidR="00FD0AE5" w:rsidRDefault="000A04A3" w:rsidP="000A04A3">
            <w:r>
              <w:t>Директор, образователен медиатор</w:t>
            </w:r>
          </w:p>
        </w:tc>
      </w:tr>
      <w:tr w:rsidR="00FD0AE5" w:rsidTr="000A04A3">
        <w:tc>
          <w:tcPr>
            <w:tcW w:w="2829" w:type="dxa"/>
          </w:tcPr>
          <w:p w:rsidR="00FD0AE5" w:rsidRDefault="00FD0AE5" w:rsidP="000A04A3">
            <w:r w:rsidRPr="0039610B">
              <w:rPr>
                <w:rFonts w:eastAsia="SimSun"/>
                <w:kern w:val="1"/>
                <w:lang w:eastAsia="zh-CN" w:bidi="hi-IN"/>
              </w:rPr>
              <w:t xml:space="preserve">-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Материална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база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допълнително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финансиране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1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Работа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привличане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спонсори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eastAsia="zh-CN" w:bidi="hi-IN"/>
              </w:rPr>
              <w:t>2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Разработване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проекти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обогатяване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МТБ</w:t>
            </w:r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3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Естетизация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училищния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двор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487370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4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Основни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ремонти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ВИК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ел.инсталации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EB58B1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5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Актуализиран</w:t>
            </w:r>
            <w:r>
              <w:rPr>
                <w:rFonts w:eastAsia="SimSun"/>
                <w:kern w:val="1"/>
                <w:lang w:val="en-US" w:eastAsia="zh-CN" w:bidi="hi-IN"/>
              </w:rPr>
              <w:t>е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обогатяване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r>
              <w:rPr>
                <w:rFonts w:eastAsia="SimSun"/>
                <w:kern w:val="1"/>
                <w:lang w:eastAsia="zh-CN" w:bidi="hi-IN"/>
              </w:rPr>
              <w:t>библиотечния фонд</w:t>
            </w:r>
          </w:p>
          <w:p w:rsidR="00FD0AE5" w:rsidRPr="00487370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6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>.</w:t>
            </w:r>
            <w:r w:rsidR="000A04A3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A04A3">
              <w:rPr>
                <w:rFonts w:eastAsia="SimSun"/>
                <w:kern w:val="1"/>
                <w:lang w:val="en-US" w:eastAsia="zh-CN" w:bidi="hi-IN"/>
              </w:rPr>
              <w:t>Ремонт</w:t>
            </w:r>
            <w:proofErr w:type="spellEnd"/>
            <w:r w:rsidR="000A04A3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A04A3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="000A04A3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A04A3">
              <w:rPr>
                <w:rFonts w:eastAsia="SimSun"/>
                <w:kern w:val="1"/>
                <w:lang w:val="en-US" w:eastAsia="zh-CN" w:bidi="hi-IN"/>
              </w:rPr>
              <w:t>зоните</w:t>
            </w:r>
            <w:proofErr w:type="spellEnd"/>
            <w:r w:rsidR="000A04A3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A04A3">
              <w:rPr>
                <w:rFonts w:eastAsia="SimSun"/>
                <w:kern w:val="1"/>
                <w:lang w:val="en-US" w:eastAsia="zh-CN" w:bidi="hi-IN"/>
              </w:rPr>
              <w:t>за</w:t>
            </w:r>
            <w:proofErr w:type="spellEnd"/>
            <w:r w:rsidR="000A04A3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="000A04A3">
              <w:rPr>
                <w:rFonts w:eastAsia="SimSun"/>
                <w:kern w:val="1"/>
                <w:lang w:val="en-US" w:eastAsia="zh-CN" w:bidi="hi-IN"/>
              </w:rPr>
              <w:t>спорт</w:t>
            </w:r>
            <w:proofErr w:type="spellEnd"/>
            <w:r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7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Текущи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ремонти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кабинети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класни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стаи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39610B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8</w:t>
            </w: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Обезпечаване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>
              <w:rPr>
                <w:rFonts w:eastAsia="SimSun"/>
                <w:kern w:val="1"/>
                <w:lang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подходящо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обзавеждане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кабинети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класни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стаи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FD0AE5" w:rsidRPr="000A04A3" w:rsidRDefault="00FD0AE5" w:rsidP="000A04A3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9</w:t>
            </w:r>
            <w:r w:rsidR="000A04A3">
              <w:rPr>
                <w:rFonts w:eastAsia="SimSun"/>
                <w:kern w:val="1"/>
                <w:lang w:val="en-US" w:eastAsia="zh-CN" w:bidi="hi-IN"/>
              </w:rPr>
              <w:t>. STEM</w:t>
            </w:r>
            <w:r w:rsidR="000A04A3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  <w:p w:rsidR="00FD0AE5" w:rsidRDefault="00FD0AE5" w:rsidP="000A04A3">
            <w:r>
              <w:rPr>
                <w:rFonts w:eastAsia="SimSun"/>
                <w:color w:val="000000" w:themeColor="text1"/>
                <w:kern w:val="1"/>
                <w:lang w:eastAsia="zh-CN" w:bidi="hi-IN"/>
              </w:rPr>
              <w:lastRenderedPageBreak/>
              <w:t>10</w:t>
            </w:r>
            <w:r w:rsidRPr="0039610B">
              <w:rPr>
                <w:rFonts w:eastAsia="SimSun"/>
                <w:color w:val="000000" w:themeColor="text1"/>
                <w:kern w:val="1"/>
                <w:lang w:eastAsia="zh-CN" w:bidi="hi-IN"/>
              </w:rPr>
              <w:t>.</w:t>
            </w:r>
            <w:r>
              <w:rPr>
                <w:rFonts w:eastAsia="SimSun"/>
                <w:color w:val="000000" w:themeColor="text1"/>
                <w:kern w:val="1"/>
                <w:lang w:eastAsia="zh-CN" w:bidi="hi-IN"/>
              </w:rPr>
              <w:t xml:space="preserve"> Внедряване на съвременн</w:t>
            </w:r>
            <w:r w:rsidRPr="0039610B">
              <w:rPr>
                <w:rFonts w:eastAsia="SimSun"/>
                <w:color w:val="000000" w:themeColor="text1"/>
                <w:kern w:val="1"/>
                <w:lang w:eastAsia="zh-CN" w:bidi="hi-IN"/>
              </w:rPr>
              <w:t>и интерактивни средства за обучение</w:t>
            </w:r>
            <w:r w:rsidR="000A04A3">
              <w:rPr>
                <w:rFonts w:eastAsia="SimSun"/>
                <w:color w:val="000000" w:themeColor="text1"/>
                <w:kern w:val="1"/>
                <w:lang w:eastAsia="zh-CN" w:bidi="hi-IN"/>
              </w:rPr>
              <w:t>.</w:t>
            </w:r>
          </w:p>
        </w:tc>
        <w:tc>
          <w:tcPr>
            <w:tcW w:w="1843" w:type="dxa"/>
          </w:tcPr>
          <w:p w:rsidR="00FD0AE5" w:rsidRDefault="000A04A3" w:rsidP="000A04A3">
            <w:r>
              <w:lastRenderedPageBreak/>
              <w:t>Спонсори, проекти, НП и ДБ</w:t>
            </w:r>
          </w:p>
        </w:tc>
        <w:tc>
          <w:tcPr>
            <w:tcW w:w="1701" w:type="dxa"/>
          </w:tcPr>
          <w:p w:rsidR="00FD0AE5" w:rsidRDefault="000A04A3" w:rsidP="000A04A3">
            <w:r>
              <w:t>Постоянен</w:t>
            </w:r>
          </w:p>
        </w:tc>
        <w:tc>
          <w:tcPr>
            <w:tcW w:w="1704" w:type="dxa"/>
            <w:gridSpan w:val="2"/>
          </w:tcPr>
          <w:p w:rsidR="00FD0AE5" w:rsidRDefault="000A04A3" w:rsidP="000A04A3">
            <w:r>
              <w:t>Директор, главен счетоводител, домакин</w:t>
            </w:r>
          </w:p>
        </w:tc>
      </w:tr>
      <w:tr w:rsidR="00AE1FF7" w:rsidTr="000A04A3">
        <w:tc>
          <w:tcPr>
            <w:tcW w:w="2829" w:type="dxa"/>
          </w:tcPr>
          <w:p w:rsidR="00AE1FF7" w:rsidRPr="0039610B" w:rsidRDefault="00AE1FF7" w:rsidP="000A04A3">
            <w:pPr>
              <w:rPr>
                <w:rFonts w:eastAsia="SimSun"/>
                <w:kern w:val="1"/>
                <w:lang w:eastAsia="zh-CN" w:bidi="hi-IN"/>
              </w:rPr>
            </w:pP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lastRenderedPageBreak/>
              <w:t>Ефективна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кампания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</w:tc>
        <w:tc>
          <w:tcPr>
            <w:tcW w:w="6068" w:type="dxa"/>
          </w:tcPr>
          <w:p w:rsidR="00AE1FF7" w:rsidRPr="0039610B" w:rsidRDefault="00AE1FF7" w:rsidP="00AE1FF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1.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Изграждане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постоянен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екип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разработващи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стратегия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училището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AE1FF7" w:rsidRPr="0039610B" w:rsidRDefault="00AE1FF7" w:rsidP="00AE1FF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2.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Осигуряване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достатъчно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сред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с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тва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по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реализиране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рекламата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AE1FF7" w:rsidRDefault="00AE1FF7" w:rsidP="00AE1FF7">
            <w:pPr>
              <w:rPr>
                <w:rFonts w:eastAsia="SimSun"/>
                <w:kern w:val="1"/>
                <w:lang w:eastAsia="zh-CN" w:bidi="hi-IN"/>
              </w:rPr>
            </w:pPr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3.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Включване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в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рекламната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дейност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на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,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родители</w:t>
            </w:r>
            <w:proofErr w:type="spellEnd"/>
            <w:r w:rsidRPr="0039610B">
              <w:rPr>
                <w:rFonts w:eastAsia="SimSun"/>
                <w:kern w:val="1"/>
                <w:lang w:val="en-US" w:eastAsia="zh-CN" w:bidi="hi-IN"/>
              </w:rPr>
              <w:t xml:space="preserve"> и </w:t>
            </w:r>
            <w:proofErr w:type="spellStart"/>
            <w:r w:rsidRPr="0039610B">
              <w:rPr>
                <w:rFonts w:eastAsia="SimSun"/>
                <w:kern w:val="1"/>
                <w:lang w:val="en-US" w:eastAsia="zh-CN" w:bidi="hi-IN"/>
              </w:rPr>
              <w:t>ученици</w:t>
            </w:r>
            <w:proofErr w:type="spellEnd"/>
            <w:r w:rsidRPr="0039610B">
              <w:rPr>
                <w:rFonts w:eastAsia="SimSun"/>
                <w:kern w:val="1"/>
                <w:lang w:eastAsia="zh-CN" w:bidi="hi-IN"/>
              </w:rPr>
              <w:t>.</w:t>
            </w:r>
          </w:p>
          <w:p w:rsidR="00AE1FF7" w:rsidRPr="0039610B" w:rsidRDefault="00AE1FF7" w:rsidP="00AE1FF7">
            <w:pPr>
              <w:widowControl w:val="0"/>
              <w:suppressAutoHyphens/>
              <w:rPr>
                <w:rFonts w:eastAsia="SimSun"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4. Участие в образователни мрежи Дни на отворени врати.</w:t>
            </w:r>
          </w:p>
        </w:tc>
        <w:tc>
          <w:tcPr>
            <w:tcW w:w="1843" w:type="dxa"/>
          </w:tcPr>
          <w:p w:rsidR="00AE1FF7" w:rsidRDefault="00AE1FF7" w:rsidP="000A04A3">
            <w:r>
              <w:t>Делегиран бюджет</w:t>
            </w:r>
          </w:p>
        </w:tc>
        <w:tc>
          <w:tcPr>
            <w:tcW w:w="1701" w:type="dxa"/>
          </w:tcPr>
          <w:p w:rsidR="00AE1FF7" w:rsidRDefault="00AE1FF7" w:rsidP="000A04A3">
            <w:r>
              <w:t>Целогодишно</w:t>
            </w:r>
          </w:p>
        </w:tc>
        <w:tc>
          <w:tcPr>
            <w:tcW w:w="1704" w:type="dxa"/>
            <w:gridSpan w:val="2"/>
          </w:tcPr>
          <w:p w:rsidR="00AE1FF7" w:rsidRDefault="00AE1FF7" w:rsidP="000A04A3">
            <w:r>
              <w:t>Директор</w:t>
            </w:r>
          </w:p>
        </w:tc>
      </w:tr>
      <w:tr w:rsidR="000A04A3" w:rsidTr="000A04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1"/>
          <w:wBefore w:w="12441" w:type="dxa"/>
          <w:wAfter w:w="45" w:type="dxa"/>
          <w:trHeight w:val="100"/>
        </w:trPr>
        <w:tc>
          <w:tcPr>
            <w:tcW w:w="1659" w:type="dxa"/>
          </w:tcPr>
          <w:p w:rsidR="000A04A3" w:rsidRDefault="000A04A3" w:rsidP="000A04A3"/>
        </w:tc>
      </w:tr>
    </w:tbl>
    <w:p w:rsidR="00FD0AE5" w:rsidRDefault="00FD0AE5"/>
    <w:sectPr w:rsidR="00FD0AE5" w:rsidSect="00FD0A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AE5"/>
    <w:rsid w:val="00004041"/>
    <w:rsid w:val="000A04A3"/>
    <w:rsid w:val="002C41C0"/>
    <w:rsid w:val="00AE1FF7"/>
    <w:rsid w:val="00BE7E2C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5A32"/>
  <w15:docId w15:val="{1B636E1D-130B-4D2E-8B76-4E639C56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D8B7-86F8-43FE-8F4A-FC56D105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SPTU</dc:creator>
  <cp:keywords/>
  <dc:description/>
  <cp:lastModifiedBy>User</cp:lastModifiedBy>
  <cp:revision>3</cp:revision>
  <dcterms:created xsi:type="dcterms:W3CDTF">2020-10-27T12:48:00Z</dcterms:created>
  <dcterms:modified xsi:type="dcterms:W3CDTF">2025-11-26T09:31:00Z</dcterms:modified>
</cp:coreProperties>
</file>